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Pajala kommunfullmäktige</w:t>
      </w:r>
    </w:p>
    <w:p>
      <w:pPr>
        <w:pStyle w:val="Heading1"/>
      </w:pPr>
      <w:r>
        <w:t xml:space="preserve">Öka antalet legitimerade lärare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Pajala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Pajalas grundskolor har ett genomsnittligt meritvärde under rikssnittet enligt Skolverket 2024. Brist på behöriga lärare påverkar särskilt elever i mindre orter. Fler lärare behövs för att höja kunskapsresultaten och minska skillnaderna.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Pajala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Pajala kommunfullmäktige beslutar att anställa minst fem nya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avsätter medel för lärarlönelyft och fortbildning motsvarande 1,8 miljoner kronor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inför en särskild rekryteringsbonus för lärare som flyttar till Pajala.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årligen följer upp elevresultat och lärarbehörighet i kommunstyrelsen.</w:t>
      </w:r>
    </w:p>
    <w:p>
      <w:pPr>
        <w:spacing w:before="360"/>
      </w:pPr>
    </w:p>
    <w:p>
      <w:r>
        <w:t xml:space="preserve">Pajala,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Pajala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2026-07-14T01:07:21.312Z</dcterms:created>
  <dcterms:modified xsi:type="dcterms:W3CDTF">2026-07-14T01:07:21.312Z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